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D02F2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D02F23" w:rsidRPr="009102A9" w:rsidRDefault="00886913" w:rsidP="00886913">
            <w:pPr>
              <w:rPr>
                <w:szCs w:val="24"/>
              </w:rPr>
            </w:pPr>
            <w:r w:rsidRPr="00E76770">
              <w:rPr>
                <w:rFonts w:hint="eastAsia"/>
                <w:szCs w:val="24"/>
              </w:rPr>
              <w:t>工作前</w:t>
            </w:r>
            <w:r>
              <w:rPr>
                <w:rFonts w:hint="eastAsia"/>
                <w:szCs w:val="24"/>
              </w:rPr>
              <w:t>檢查起重機和吊具</w:t>
            </w:r>
            <w:r w:rsidR="00844BDC">
              <w:rPr>
                <w:rFonts w:hint="eastAsia"/>
                <w:szCs w:val="24"/>
              </w:rPr>
              <w:t>處</w:t>
            </w:r>
            <w:r w:rsidR="002E2497">
              <w:rPr>
                <w:rFonts w:hint="eastAsia"/>
                <w:szCs w:val="24"/>
              </w:rPr>
              <w:t>於良好工作</w:t>
            </w:r>
            <w:r w:rsidR="002E2497" w:rsidRPr="00E4500A">
              <w:rPr>
                <w:rFonts w:hint="eastAsia"/>
                <w:szCs w:val="24"/>
              </w:rPr>
              <w:t>狀</w:t>
            </w:r>
            <w:r w:rsidR="002E2497">
              <w:rPr>
                <w:rFonts w:hint="eastAsia"/>
                <w:szCs w:val="24"/>
              </w:rPr>
              <w:t>態</w:t>
            </w:r>
          </w:p>
        </w:tc>
        <w:tc>
          <w:tcPr>
            <w:tcW w:w="1418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</w:tr>
      <w:tr w:rsidR="00D02F2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D02F23" w:rsidRPr="009102A9" w:rsidRDefault="00886913" w:rsidP="00D02F23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4C4F66" w:rsidRPr="004C4F66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</w:t>
            </w:r>
            <w:r w:rsidR="00FC53BF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安全帽及</w:t>
            </w:r>
            <w:r w:rsidR="00FC53BF">
              <w:rPr>
                <w:rFonts w:hint="eastAsia"/>
                <w:szCs w:val="24"/>
              </w:rPr>
              <w:t>Y</w:t>
            </w:r>
            <w:r w:rsidR="00FC53BF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帽帶、安全鞋</w:t>
            </w:r>
            <w:r w:rsidR="004C4F66" w:rsidRPr="004C4F66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反光衣</w:t>
            </w:r>
            <w:r w:rsidR="004C4F66" w:rsidRPr="004C4F66">
              <w:rPr>
                <w:rFonts w:hint="eastAsia"/>
                <w:szCs w:val="24"/>
              </w:rPr>
              <w:t>及合適手套等</w:t>
            </w:r>
            <w:r>
              <w:rPr>
                <w:rFonts w:hint="eastAsia"/>
                <w:szCs w:val="24"/>
              </w:rPr>
              <w:t>）</w:t>
            </w:r>
            <w:r w:rsidR="00FC53BF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10496D" w:rsidRPr="009102A9" w:rsidRDefault="0010496D" w:rsidP="0010496D">
            <w:pPr>
              <w:rPr>
                <w:szCs w:val="24"/>
              </w:rPr>
            </w:pPr>
            <w:r w:rsidRPr="002D63FB">
              <w:rPr>
                <w:rFonts w:hint="eastAsia"/>
              </w:rPr>
              <w:t>正確</w:t>
            </w:r>
            <w:proofErr w:type="gramStart"/>
            <w:r w:rsidRPr="002D63FB">
              <w:rPr>
                <w:rFonts w:hint="eastAsia"/>
              </w:rPr>
              <w:t>圍封吊</w:t>
            </w:r>
            <w:proofErr w:type="gramEnd"/>
            <w:r w:rsidRPr="002D63FB">
              <w:rPr>
                <w:rFonts w:hint="eastAsia"/>
              </w:rPr>
              <w:t>運位置及吊運</w:t>
            </w:r>
            <w:r>
              <w:rPr>
                <w:rFonts w:hint="eastAsia"/>
              </w:rPr>
              <w:t>範圍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10496D" w:rsidRPr="009102A9" w:rsidRDefault="0010496D" w:rsidP="0010496D">
            <w:pPr>
              <w:rPr>
                <w:szCs w:val="24"/>
              </w:rPr>
            </w:pPr>
            <w:r w:rsidRPr="002D63FB">
              <w:rPr>
                <w:rFonts w:hint="eastAsia"/>
              </w:rPr>
              <w:t>於指定地方進行吊運工作</w:t>
            </w:r>
          </w:p>
        </w:tc>
        <w:tc>
          <w:tcPr>
            <w:tcW w:w="1418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10496D" w:rsidRPr="009102A9" w:rsidRDefault="0010496D" w:rsidP="0010496D">
            <w:pPr>
              <w:rPr>
                <w:szCs w:val="24"/>
              </w:rPr>
            </w:pPr>
            <w:r w:rsidRPr="006309B3">
              <w:rPr>
                <w:rFonts w:hint="eastAsia"/>
              </w:rPr>
              <w:t>於指定存放區擺放</w:t>
            </w:r>
            <w:proofErr w:type="gramStart"/>
            <w:r w:rsidRPr="006309B3">
              <w:rPr>
                <w:rFonts w:hint="eastAsia"/>
              </w:rPr>
              <w:t>鐵模，鐵模要</w:t>
            </w:r>
            <w:proofErr w:type="gramEnd"/>
            <w:r w:rsidRPr="006309B3">
              <w:rPr>
                <w:rFonts w:hint="eastAsia"/>
              </w:rPr>
              <w:t>以正確方式擺放（</w:t>
            </w:r>
            <w:r>
              <w:rPr>
                <w:rFonts w:hint="eastAsia"/>
              </w:rPr>
              <w:t>如</w:t>
            </w:r>
            <w:r w:rsidRPr="006309B3">
              <w:rPr>
                <w:rFonts w:hint="eastAsia"/>
              </w:rPr>
              <w:t>支撐要著地）</w:t>
            </w:r>
          </w:p>
        </w:tc>
        <w:tc>
          <w:tcPr>
            <w:tcW w:w="1418" w:type="dxa"/>
          </w:tcPr>
          <w:p w:rsidR="0010496D" w:rsidRPr="00327276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10496D" w:rsidRPr="002D63FB" w:rsidRDefault="0010496D" w:rsidP="0010496D">
            <w:r w:rsidRPr="006309B3">
              <w:rPr>
                <w:rFonts w:hint="eastAsia"/>
              </w:rPr>
              <w:t>使用合適及狀態良好的吊具及以正確</w:t>
            </w:r>
            <w:proofErr w:type="gramStart"/>
            <w:r w:rsidRPr="006309B3">
              <w:rPr>
                <w:rFonts w:hint="eastAsia"/>
              </w:rPr>
              <w:t>捆結</w:t>
            </w:r>
            <w:bookmarkStart w:id="0" w:name="_GoBack"/>
            <w:bookmarkEnd w:id="0"/>
            <w:r w:rsidRPr="006309B3">
              <w:rPr>
                <w:rFonts w:hint="eastAsia"/>
              </w:rPr>
              <w:t>方法</w:t>
            </w:r>
            <w:r w:rsidRPr="001F1534">
              <w:rPr>
                <w:rFonts w:hint="eastAsia"/>
              </w:rPr>
              <w:t>繫</w:t>
            </w:r>
            <w:proofErr w:type="gramEnd"/>
            <w:r w:rsidRPr="001F1534">
              <w:rPr>
                <w:rFonts w:hint="eastAsia"/>
              </w:rPr>
              <w:t>穩</w:t>
            </w:r>
            <w:r>
              <w:rPr>
                <w:rFonts w:hint="eastAsia"/>
              </w:rPr>
              <w:t>被</w:t>
            </w:r>
            <w:proofErr w:type="gramStart"/>
            <w:r w:rsidRPr="006309B3">
              <w:rPr>
                <w:rFonts w:hint="eastAsia"/>
              </w:rPr>
              <w:t>吊運物料</w:t>
            </w:r>
            <w:proofErr w:type="gramEnd"/>
          </w:p>
        </w:tc>
        <w:tc>
          <w:tcPr>
            <w:tcW w:w="1418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10496D" w:rsidRPr="002D63FB" w:rsidRDefault="00960BB3" w:rsidP="0010496D">
            <w:r>
              <w:rPr>
                <w:rFonts w:hint="eastAsia"/>
              </w:rPr>
              <w:t>吊運期間</w:t>
            </w:r>
            <w:r w:rsidR="0010496D" w:rsidRPr="006309B3">
              <w:rPr>
                <w:rFonts w:hint="eastAsia"/>
              </w:rPr>
              <w:t>訊號員與起重機操作員保持</w:t>
            </w:r>
            <w:r w:rsidR="0010496D">
              <w:rPr>
                <w:rFonts w:hint="eastAsia"/>
              </w:rPr>
              <w:t>良好</w:t>
            </w:r>
            <w:r w:rsidR="0010496D" w:rsidRPr="006309B3">
              <w:rPr>
                <w:rFonts w:hint="eastAsia"/>
              </w:rPr>
              <w:t>溝通</w:t>
            </w:r>
          </w:p>
        </w:tc>
        <w:tc>
          <w:tcPr>
            <w:tcW w:w="1418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10496D" w:rsidRPr="002D63FB" w:rsidRDefault="0010496D" w:rsidP="0010496D">
            <w:proofErr w:type="gramStart"/>
            <w:r w:rsidRPr="006309B3">
              <w:rPr>
                <w:rFonts w:hint="eastAsia"/>
              </w:rPr>
              <w:t>使用導繩協助</w:t>
            </w:r>
            <w:proofErr w:type="gramEnd"/>
            <w:r w:rsidRPr="006309B3">
              <w:rPr>
                <w:rFonts w:hint="eastAsia"/>
              </w:rPr>
              <w:t>控制</w:t>
            </w:r>
            <w:proofErr w:type="gramStart"/>
            <w:r w:rsidRPr="006309B3">
              <w:rPr>
                <w:rFonts w:hint="eastAsia"/>
              </w:rPr>
              <w:t>吊運物的</w:t>
            </w:r>
            <w:proofErr w:type="gramEnd"/>
            <w:r w:rsidRPr="006309B3">
              <w:rPr>
                <w:rFonts w:hint="eastAsia"/>
              </w:rPr>
              <w:t>擺動或轉動</w:t>
            </w:r>
          </w:p>
        </w:tc>
        <w:tc>
          <w:tcPr>
            <w:tcW w:w="1418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10496D" w:rsidRPr="006309B3" w:rsidRDefault="00F223C5" w:rsidP="00F223C5">
            <w:r w:rsidRPr="006546CE">
              <w:rPr>
                <w:rFonts w:hint="eastAsia"/>
              </w:rPr>
              <w:t>檢查</w:t>
            </w:r>
            <w:r w:rsidR="0010496D" w:rsidRPr="006546CE">
              <w:rPr>
                <w:rFonts w:hint="eastAsia"/>
              </w:rPr>
              <w:t>鬆散</w:t>
            </w:r>
            <w:r w:rsidR="00960BB3" w:rsidRPr="006546CE">
              <w:rPr>
                <w:rFonts w:hint="eastAsia"/>
              </w:rPr>
              <w:t>及細小的物料存放於</w:t>
            </w:r>
            <w:proofErr w:type="gramStart"/>
            <w:r w:rsidR="00960BB3" w:rsidRPr="006546CE">
              <w:rPr>
                <w:rFonts w:hint="eastAsia"/>
              </w:rPr>
              <w:t>鐵模有</w:t>
            </w:r>
            <w:proofErr w:type="gramEnd"/>
            <w:r w:rsidR="00960BB3" w:rsidRPr="006546CE">
              <w:rPr>
                <w:rFonts w:hint="eastAsia"/>
              </w:rPr>
              <w:t>蓋的容器</w:t>
            </w:r>
            <w:r w:rsidRPr="006546CE">
              <w:rPr>
                <w:rFonts w:hint="eastAsia"/>
              </w:rPr>
              <w:t>內</w:t>
            </w:r>
          </w:p>
        </w:tc>
        <w:tc>
          <w:tcPr>
            <w:tcW w:w="1418" w:type="dxa"/>
          </w:tcPr>
          <w:p w:rsidR="0010496D" w:rsidRPr="00960BB3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10496D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10496D" w:rsidRPr="006309B3" w:rsidRDefault="00865426" w:rsidP="0010496D">
            <w:r w:rsidRPr="006546CE">
              <w:rPr>
                <w:rFonts w:hint="eastAsia"/>
              </w:rPr>
              <w:t>檢查</w:t>
            </w:r>
            <w:r w:rsidR="00F223C5" w:rsidRPr="006546CE">
              <w:rPr>
                <w:rFonts w:hint="eastAsia"/>
              </w:rPr>
              <w:t>長形配件繫穩</w:t>
            </w:r>
            <w:r w:rsidRPr="006546CE">
              <w:rPr>
                <w:rFonts w:hint="eastAsia"/>
              </w:rPr>
              <w:t>於</w:t>
            </w:r>
            <w:r w:rsidR="00F223C5" w:rsidRPr="006546CE">
              <w:rPr>
                <w:rFonts w:hint="eastAsia"/>
              </w:rPr>
              <w:t>鐵模槽內以防鬆脫</w:t>
            </w:r>
          </w:p>
        </w:tc>
        <w:tc>
          <w:tcPr>
            <w:tcW w:w="1418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0496D" w:rsidRDefault="0010496D" w:rsidP="0010496D">
            <w:pPr>
              <w:rPr>
                <w:b/>
                <w:sz w:val="28"/>
                <w:szCs w:val="28"/>
              </w:rPr>
            </w:pPr>
          </w:p>
        </w:tc>
      </w:tr>
      <w:tr w:rsidR="00F223C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F223C5" w:rsidRPr="006309B3" w:rsidRDefault="00F223C5" w:rsidP="00F223C5">
            <w:r>
              <w:rPr>
                <w:rFonts w:hint="eastAsia"/>
              </w:rPr>
              <w:t>檢查</w:t>
            </w:r>
            <w:r w:rsidRPr="006309B3">
              <w:rPr>
                <w:rFonts w:hint="eastAsia"/>
              </w:rPr>
              <w:t>吊運物件</w:t>
            </w:r>
            <w:r>
              <w:rPr>
                <w:rFonts w:hint="eastAsia"/>
              </w:rPr>
              <w:t>沒有</w:t>
            </w:r>
            <w:r w:rsidRPr="006309B3">
              <w:rPr>
                <w:rFonts w:hint="eastAsia"/>
              </w:rPr>
              <w:t>超出安全操作負荷</w:t>
            </w:r>
            <w:r>
              <w:rPr>
                <w:rFonts w:hint="eastAsia"/>
              </w:rPr>
              <w:t>才起吊</w:t>
            </w:r>
          </w:p>
        </w:tc>
        <w:tc>
          <w:tcPr>
            <w:tcW w:w="1418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</w:tr>
      <w:tr w:rsidR="00F223C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F223C5" w:rsidRPr="006546CE" w:rsidRDefault="008B0D3D" w:rsidP="00F223C5">
            <w:r w:rsidRPr="006546CE">
              <w:rPr>
                <w:rFonts w:hint="eastAsia"/>
              </w:rPr>
              <w:t>吊運時</w:t>
            </w:r>
            <w:proofErr w:type="gramStart"/>
            <w:r w:rsidRPr="006546CE">
              <w:rPr>
                <w:rFonts w:hint="eastAsia"/>
              </w:rPr>
              <w:t>先吊起鐵模</w:t>
            </w:r>
            <w:r w:rsidR="00F223C5" w:rsidRPr="006546CE">
              <w:rPr>
                <w:rFonts w:hint="eastAsia"/>
              </w:rPr>
              <w:t>離</w:t>
            </w:r>
            <w:proofErr w:type="gramEnd"/>
            <w:r w:rsidR="00F223C5" w:rsidRPr="006546CE">
              <w:rPr>
                <w:rFonts w:hint="eastAsia"/>
              </w:rPr>
              <w:t>地</w:t>
            </w:r>
            <w:r w:rsidRPr="006546CE">
              <w:rPr>
                <w:rFonts w:hint="eastAsia"/>
              </w:rPr>
              <w:t>數百毫米</w:t>
            </w:r>
            <w:r w:rsidR="00F223C5" w:rsidRPr="006546CE">
              <w:rPr>
                <w:rFonts w:hint="eastAsia"/>
              </w:rPr>
              <w:t>數秒，</w:t>
            </w:r>
            <w:proofErr w:type="gramStart"/>
            <w:r w:rsidR="00F223C5" w:rsidRPr="006546CE">
              <w:rPr>
                <w:rFonts w:hint="eastAsia"/>
              </w:rPr>
              <w:t>檢查鐵模穩固</w:t>
            </w:r>
            <w:proofErr w:type="gramEnd"/>
            <w:r w:rsidR="00F223C5" w:rsidRPr="006546CE">
              <w:rPr>
                <w:rFonts w:hint="eastAsia"/>
              </w:rPr>
              <w:t>後才起吊</w:t>
            </w:r>
          </w:p>
        </w:tc>
        <w:tc>
          <w:tcPr>
            <w:tcW w:w="1418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</w:tr>
      <w:tr w:rsidR="00F223C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gridSpan w:val="3"/>
          </w:tcPr>
          <w:p w:rsidR="00F223C5" w:rsidRPr="00107345" w:rsidRDefault="00CC0901" w:rsidP="00F223C5">
            <w:pPr>
              <w:rPr>
                <w:highlight w:val="yellow"/>
              </w:rPr>
            </w:pPr>
            <w:r w:rsidRPr="004C4F66">
              <w:rPr>
                <w:rFonts w:hint="eastAsia"/>
              </w:rPr>
              <w:t>確保吊運路徑清場及沒有人</w:t>
            </w:r>
            <w:proofErr w:type="gramStart"/>
            <w:r w:rsidRPr="004C4F66">
              <w:rPr>
                <w:rFonts w:hint="eastAsia"/>
              </w:rPr>
              <w:t>於圍封吊運區</w:t>
            </w:r>
            <w:proofErr w:type="gramEnd"/>
            <w:r w:rsidRPr="004C4F66">
              <w:rPr>
                <w:rFonts w:hint="eastAsia"/>
              </w:rPr>
              <w:t>內或停留於吊運路徑或</w:t>
            </w:r>
            <w:r w:rsidR="004C4F66" w:rsidRPr="004C4F66">
              <w:rPr>
                <w:rFonts w:hint="eastAsia"/>
              </w:rPr>
              <w:t>於吊</w:t>
            </w:r>
            <w:proofErr w:type="gramStart"/>
            <w:r w:rsidR="004C4F66" w:rsidRPr="004C4F66">
              <w:rPr>
                <w:rFonts w:hint="eastAsia"/>
              </w:rPr>
              <w:t>運物下</w:t>
            </w:r>
            <w:proofErr w:type="gramEnd"/>
            <w:r w:rsidR="004C4F66" w:rsidRPr="004C4F66">
              <w:rPr>
                <w:rFonts w:hint="eastAsia"/>
              </w:rPr>
              <w:t>停留</w:t>
            </w:r>
          </w:p>
        </w:tc>
        <w:tc>
          <w:tcPr>
            <w:tcW w:w="1418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</w:tr>
      <w:tr w:rsidR="00F223C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8788" w:type="dxa"/>
            <w:gridSpan w:val="3"/>
          </w:tcPr>
          <w:p w:rsidR="00F223C5" w:rsidRPr="006309B3" w:rsidRDefault="00F223C5" w:rsidP="00F223C5"/>
        </w:tc>
        <w:tc>
          <w:tcPr>
            <w:tcW w:w="1418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</w:tr>
      <w:tr w:rsidR="00F223C5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F223C5" w:rsidRPr="00E4500A" w:rsidRDefault="00F223C5" w:rsidP="00F223C5">
            <w:pPr>
              <w:rPr>
                <w:sz w:val="28"/>
                <w:szCs w:val="28"/>
              </w:rPr>
            </w:pPr>
            <w:proofErr w:type="gramStart"/>
            <w:r w:rsidRPr="00E4500A">
              <w:rPr>
                <w:rFonts w:hint="eastAsia"/>
                <w:sz w:val="28"/>
                <w:szCs w:val="28"/>
              </w:rPr>
              <w:t>備注</w:t>
            </w:r>
            <w:proofErr w:type="gramEnd"/>
            <w:r w:rsidRPr="00E4500A">
              <w:rPr>
                <w:rFonts w:hint="eastAsia"/>
                <w:sz w:val="28"/>
                <w:szCs w:val="28"/>
              </w:rPr>
              <w:t>（如適用）：</w:t>
            </w:r>
          </w:p>
        </w:tc>
      </w:tr>
      <w:tr w:rsidR="00F223C5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F223C5" w:rsidRPr="00E4500A" w:rsidRDefault="00F223C5" w:rsidP="00F223C5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F223C5" w:rsidRPr="00E4500A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</w:tr>
      <w:tr w:rsidR="00F223C5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F223C5" w:rsidRPr="00E4500A" w:rsidRDefault="00F223C5" w:rsidP="00F223C5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F223C5" w:rsidRPr="00C52088" w:rsidRDefault="00AF7808" w:rsidP="00F223C5">
            <w:pPr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2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2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2"/>
                          </w:rPr>
                          <m:t>總數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F223C5" w:rsidRDefault="00F223C5" w:rsidP="00F223C5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</w:p>
    <w:sectPr w:rsidR="00E4500A" w:rsidRPr="00262862" w:rsidSect="005B0630">
      <w:headerReference w:type="default" r:id="rId7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73" w:rsidRDefault="000B5973" w:rsidP="00262862">
      <w:r>
        <w:separator/>
      </w:r>
    </w:p>
  </w:endnote>
  <w:endnote w:type="continuationSeparator" w:id="0">
    <w:p w:rsidR="000B5973" w:rsidRDefault="000B5973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73" w:rsidRDefault="000B5973" w:rsidP="00262862">
      <w:r>
        <w:separator/>
      </w:r>
    </w:p>
  </w:footnote>
  <w:footnote w:type="continuationSeparator" w:id="0">
    <w:p w:rsidR="000B5973" w:rsidRDefault="000B5973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3F370F" w:rsidP="00262862">
    <w:pPr>
      <w:jc w:val="center"/>
      <w:rPr>
        <w:b/>
        <w:sz w:val="36"/>
        <w:szCs w:val="36"/>
      </w:rPr>
    </w:pPr>
    <w:proofErr w:type="gramStart"/>
    <w:r>
      <w:rPr>
        <w:rFonts w:hint="eastAsia"/>
        <w:b/>
        <w:sz w:val="36"/>
        <w:szCs w:val="36"/>
      </w:rPr>
      <w:t>鐵模</w:t>
    </w:r>
    <w:r w:rsidR="00262862" w:rsidRPr="00262862">
      <w:rPr>
        <w:rFonts w:hint="eastAsia"/>
        <w:b/>
        <w:sz w:val="36"/>
        <w:szCs w:val="36"/>
      </w:rPr>
      <w:t>工作</w:t>
    </w:r>
    <w:proofErr w:type="gramEnd"/>
    <w:r w:rsidR="00262862" w:rsidRPr="00262862">
      <w:rPr>
        <w:rFonts w:hint="eastAsia"/>
        <w:b/>
        <w:sz w:val="36"/>
        <w:szCs w:val="36"/>
      </w:rPr>
      <w:t>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B4F03"/>
    <w:rsid w:val="000B5973"/>
    <w:rsid w:val="000D10F9"/>
    <w:rsid w:val="000D1C7B"/>
    <w:rsid w:val="00100CE6"/>
    <w:rsid w:val="0010496D"/>
    <w:rsid w:val="0010631B"/>
    <w:rsid w:val="00107345"/>
    <w:rsid w:val="001403D0"/>
    <w:rsid w:val="00181F3A"/>
    <w:rsid w:val="001A62C9"/>
    <w:rsid w:val="002373DA"/>
    <w:rsid w:val="00262862"/>
    <w:rsid w:val="002E2497"/>
    <w:rsid w:val="003036EA"/>
    <w:rsid w:val="00327276"/>
    <w:rsid w:val="00345E4A"/>
    <w:rsid w:val="0037085C"/>
    <w:rsid w:val="003F370F"/>
    <w:rsid w:val="0040676A"/>
    <w:rsid w:val="004C4F66"/>
    <w:rsid w:val="004C6B08"/>
    <w:rsid w:val="005834C1"/>
    <w:rsid w:val="005B0630"/>
    <w:rsid w:val="006546CE"/>
    <w:rsid w:val="0068561D"/>
    <w:rsid w:val="00716BD3"/>
    <w:rsid w:val="00741337"/>
    <w:rsid w:val="0081615C"/>
    <w:rsid w:val="00844BDC"/>
    <w:rsid w:val="00865426"/>
    <w:rsid w:val="00866602"/>
    <w:rsid w:val="00886913"/>
    <w:rsid w:val="008B0D3D"/>
    <w:rsid w:val="009102A9"/>
    <w:rsid w:val="00914170"/>
    <w:rsid w:val="0092206F"/>
    <w:rsid w:val="00960BB3"/>
    <w:rsid w:val="00A50600"/>
    <w:rsid w:val="00A573D1"/>
    <w:rsid w:val="00A610CD"/>
    <w:rsid w:val="00A95EE2"/>
    <w:rsid w:val="00AF7808"/>
    <w:rsid w:val="00B307EE"/>
    <w:rsid w:val="00BE140F"/>
    <w:rsid w:val="00C52088"/>
    <w:rsid w:val="00C631CD"/>
    <w:rsid w:val="00C768AC"/>
    <w:rsid w:val="00CC0901"/>
    <w:rsid w:val="00D02F23"/>
    <w:rsid w:val="00D3105F"/>
    <w:rsid w:val="00D55F5B"/>
    <w:rsid w:val="00DC2A8E"/>
    <w:rsid w:val="00E43D98"/>
    <w:rsid w:val="00E4500A"/>
    <w:rsid w:val="00E57907"/>
    <w:rsid w:val="00E76770"/>
    <w:rsid w:val="00F014C4"/>
    <w:rsid w:val="00F223C5"/>
    <w:rsid w:val="00F25D6B"/>
    <w:rsid w:val="00F53D6B"/>
    <w:rsid w:val="00F956F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49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4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HKHA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鐵模工作安全行為觀察表</dc:title>
  <dc:creator>SHU</dc:creator>
  <cp:lastModifiedBy>Hong Kong Housing Authority</cp:lastModifiedBy>
  <cp:revision>6</cp:revision>
  <dcterms:created xsi:type="dcterms:W3CDTF">2018-01-02T03:30:00Z</dcterms:created>
  <dcterms:modified xsi:type="dcterms:W3CDTF">2018-08-20T02:29:00Z</dcterms:modified>
</cp:coreProperties>
</file>